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2C7CDB" w14:textId="6AC5B466" w:rsidR="00B16FCB" w:rsidRPr="00F8302E" w:rsidRDefault="00AC6544" w:rsidP="00CD0C38">
      <w:pPr>
        <w:spacing w:after="0"/>
        <w:jc w:val="center"/>
        <w:rPr>
          <w:rFonts w:cstheme="minorHAnsi"/>
          <w:b/>
          <w:color w:val="001409"/>
          <w:sz w:val="48"/>
          <w:szCs w:val="48"/>
        </w:rPr>
      </w:pPr>
      <w:r w:rsidRPr="00F8302E">
        <w:rPr>
          <w:rFonts w:cstheme="minorHAnsi"/>
          <w:b/>
          <w:color w:val="001409"/>
          <w:sz w:val="48"/>
          <w:szCs w:val="48"/>
        </w:rPr>
        <w:t xml:space="preserve">A Law Library of Louisiana </w:t>
      </w:r>
      <w:r w:rsidR="00B72D09">
        <w:rPr>
          <w:rFonts w:cstheme="minorHAnsi"/>
          <w:b/>
          <w:color w:val="001409"/>
          <w:sz w:val="48"/>
          <w:szCs w:val="48"/>
        </w:rPr>
        <w:t>FREE</w:t>
      </w:r>
      <w:r w:rsidR="00082B1F">
        <w:rPr>
          <w:rFonts w:cstheme="minorHAnsi"/>
          <w:b/>
          <w:color w:val="001409"/>
          <w:sz w:val="48"/>
          <w:szCs w:val="48"/>
        </w:rPr>
        <w:t xml:space="preserve"> </w:t>
      </w:r>
      <w:r w:rsidRPr="00F8302E">
        <w:rPr>
          <w:rFonts w:cstheme="minorHAnsi"/>
          <w:b/>
          <w:color w:val="001409"/>
          <w:sz w:val="48"/>
          <w:szCs w:val="48"/>
        </w:rPr>
        <w:t>CLE</w:t>
      </w:r>
      <w:r w:rsidR="003C7F73" w:rsidRPr="00F8302E">
        <w:rPr>
          <w:rFonts w:cstheme="minorHAnsi"/>
          <w:b/>
          <w:color w:val="001409"/>
          <w:sz w:val="48"/>
          <w:szCs w:val="48"/>
        </w:rPr>
        <w:t xml:space="preserve"> </w:t>
      </w:r>
    </w:p>
    <w:p w14:paraId="33BEB992" w14:textId="77777777" w:rsidR="002D4AEA" w:rsidRPr="00F8302E" w:rsidRDefault="002D4AEA" w:rsidP="00CD0C38">
      <w:pPr>
        <w:spacing w:after="0"/>
        <w:jc w:val="center"/>
        <w:rPr>
          <w:rFonts w:cstheme="minorHAnsi"/>
          <w:b/>
          <w:color w:val="001409"/>
          <w:sz w:val="32"/>
          <w:szCs w:val="32"/>
        </w:rPr>
      </w:pPr>
      <w:r w:rsidRPr="00F8302E">
        <w:rPr>
          <w:rFonts w:cstheme="minorHAnsi"/>
          <w:b/>
          <w:color w:val="001409"/>
          <w:sz w:val="32"/>
          <w:szCs w:val="32"/>
        </w:rPr>
        <w:t>Co-sponsored by the Supreme Court of Louisiana Historical Society</w:t>
      </w:r>
    </w:p>
    <w:p w14:paraId="36E1F1FA" w14:textId="77777777" w:rsidR="006A651B" w:rsidRPr="006A651B" w:rsidRDefault="006A651B" w:rsidP="00CD0C38">
      <w:pPr>
        <w:spacing w:after="0"/>
        <w:jc w:val="center"/>
        <w:rPr>
          <w:rFonts w:cstheme="minorHAnsi"/>
          <w:b/>
          <w:color w:val="001409"/>
          <w:sz w:val="16"/>
          <w:szCs w:val="16"/>
        </w:rPr>
      </w:pPr>
    </w:p>
    <w:p w14:paraId="150CD8CB" w14:textId="6B3F4C99" w:rsidR="0078013A" w:rsidRPr="0045478A" w:rsidRDefault="006A07FF" w:rsidP="00C46C03">
      <w:pPr>
        <w:spacing w:after="0"/>
        <w:ind w:left="-810" w:right="-540"/>
        <w:jc w:val="center"/>
        <w:rPr>
          <w:rFonts w:ascii="Franklin Gothic Medium" w:hAnsi="Franklin Gothic Medium"/>
          <w:b/>
          <w:smallCaps/>
          <w:sz w:val="50"/>
          <w:szCs w:val="5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proofErr w:type="gramStart"/>
      <w:r w:rsidRPr="006A07FF">
        <w:rPr>
          <w:rFonts w:ascii="Franklin Gothic Medium" w:hAnsi="Franklin Gothic Medium"/>
          <w:b/>
          <w:bCs/>
          <w:smallCaps/>
          <w:sz w:val="46"/>
          <w:szCs w:val="46"/>
          <w:u w:val="single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Writ NOT</w:t>
      </w:r>
      <w:proofErr w:type="gramEnd"/>
      <w:r w:rsidRPr="006A07FF">
        <w:rPr>
          <w:rFonts w:ascii="Franklin Gothic Medium" w:hAnsi="Franklin Gothic Medium"/>
          <w:b/>
          <w:bCs/>
          <w:smallCaps/>
          <w:sz w:val="46"/>
          <w:szCs w:val="46"/>
          <w:u w:val="single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Denied: Navigating the Louisiana Supreme Court’s Rule X</w:t>
      </w:r>
    </w:p>
    <w:p w14:paraId="28E59679" w14:textId="77777777" w:rsidR="003550D1" w:rsidRPr="0046792F" w:rsidRDefault="003550D1" w:rsidP="003550D1">
      <w:pPr>
        <w:spacing w:after="0"/>
        <w:jc w:val="center"/>
        <w:rPr>
          <w:rFonts w:cstheme="minorHAnsi"/>
          <w:b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14:paraId="0ACA78AD" w14:textId="5F18DDAB" w:rsidR="008D5A36" w:rsidRDefault="004C194B" w:rsidP="0046703B">
      <w:pPr>
        <w:spacing w:after="0"/>
        <w:ind w:left="-720" w:right="-450"/>
        <w:jc w:val="center"/>
      </w:pPr>
      <w:r>
        <w:rPr>
          <w:noProof/>
        </w:rPr>
        <w:drawing>
          <wp:inline distT="0" distB="0" distL="0" distR="0" wp14:anchorId="739A99DB" wp14:editId="3774B5F9">
            <wp:extent cx="1636775" cy="1828800"/>
            <wp:effectExtent l="0" t="0" r="1905" b="0"/>
            <wp:docPr id="1744151455" name="Picture 1" descr="A person in a suit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51455" name="Picture 1" descr="A person in a suit smiling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7FCC86E" wp14:editId="476B2BD7">
            <wp:extent cx="1455870" cy="1828800"/>
            <wp:effectExtent l="0" t="0" r="0" b="0"/>
            <wp:docPr id="470710714" name="Picture 2" descr="A person in a suit with his arms cros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10714" name="Picture 2" descr="A person in a suit with his arms crossed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6" t="11014" r="5342" b="12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7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843AB9" w14:textId="77777777" w:rsidR="00800214" w:rsidRPr="00BF2EF1" w:rsidRDefault="00800214" w:rsidP="003550D1">
      <w:pPr>
        <w:spacing w:after="0"/>
        <w:jc w:val="center"/>
        <w:rPr>
          <w:sz w:val="16"/>
          <w:szCs w:val="16"/>
          <w14:textOutline w14:w="19050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14:paraId="2FCD95B0" w14:textId="7C7105B8" w:rsidR="00950971" w:rsidRPr="0045478A" w:rsidRDefault="0046792F" w:rsidP="005613A4">
      <w:pPr>
        <w:spacing w:after="0"/>
        <w:jc w:val="center"/>
        <w:rPr>
          <w:rFonts w:ascii="Franklin Gothic Medium" w:hAnsi="Franklin Gothic Medium"/>
          <w:color w:val="262626" w:themeColor="text1" w:themeTint="D9"/>
          <w:sz w:val="34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45478A">
        <w:rPr>
          <w:rFonts w:ascii="Franklin Gothic Medium" w:hAnsi="Franklin Gothic Medium"/>
          <w:color w:val="262626" w:themeColor="text1" w:themeTint="D9"/>
          <w:sz w:val="34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Presented by </w:t>
      </w:r>
      <w:r w:rsidR="006A07FF">
        <w:rPr>
          <w:rFonts w:ascii="Franklin Gothic Medium" w:hAnsi="Franklin Gothic Medium"/>
          <w:color w:val="262626" w:themeColor="text1" w:themeTint="D9"/>
          <w:sz w:val="34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Isaac H. Ryan, Esq. &amp; Thomas </w:t>
      </w:r>
      <w:r w:rsidR="004C194B">
        <w:rPr>
          <w:rFonts w:ascii="Franklin Gothic Medium" w:hAnsi="Franklin Gothic Medium"/>
          <w:color w:val="262626" w:themeColor="text1" w:themeTint="D9"/>
          <w:sz w:val="34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M. </w:t>
      </w:r>
      <w:r w:rsidR="006A07FF">
        <w:rPr>
          <w:rFonts w:ascii="Franklin Gothic Medium" w:hAnsi="Franklin Gothic Medium"/>
          <w:color w:val="262626" w:themeColor="text1" w:themeTint="D9"/>
          <w:sz w:val="34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>Flanagan, Esq.</w:t>
      </w:r>
    </w:p>
    <w:p w14:paraId="7CF4498A" w14:textId="501E63AA" w:rsidR="003550D1" w:rsidRPr="00625828" w:rsidRDefault="004C194B" w:rsidP="005613A4">
      <w:pPr>
        <w:spacing w:after="0"/>
        <w:jc w:val="center"/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Thursday, November 20</w:t>
      </w:r>
      <w:r w:rsidR="00E219EB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0835D4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♦</w:t>
      </w:r>
      <w:r w:rsidR="00E219EB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D4AEA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</w:t>
      </w:r>
      <w:r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</w:t>
      </w:r>
      <w:r w:rsidR="002D4AEA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:</w:t>
      </w:r>
      <w:r w:rsidR="003F51B7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</w:t>
      </w:r>
      <w:r w:rsidR="002D4AEA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0 </w:t>
      </w:r>
      <w:r w:rsidR="004A6A06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a</w:t>
      </w:r>
      <w:r w:rsidR="002D4AEA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.m.</w:t>
      </w:r>
      <w:r w:rsidR="00BF2EF1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AE236E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–</w:t>
      </w:r>
      <w:r w:rsidR="00BF2EF1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AE236E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</w:t>
      </w:r>
      <w:r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</w:t>
      </w:r>
      <w:r w:rsidR="00AE236E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:</w:t>
      </w:r>
      <w:r w:rsidR="004A6A06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15</w:t>
      </w:r>
      <w:r w:rsidR="002D4AEA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8C4AF5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p</w:t>
      </w:r>
      <w:r w:rsidR="002D4AEA"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.m.</w:t>
      </w:r>
    </w:p>
    <w:p w14:paraId="42B633B6" w14:textId="0BB02F52" w:rsidR="00EB7F32" w:rsidRPr="00625828" w:rsidRDefault="002010B7" w:rsidP="005613A4">
      <w:pPr>
        <w:spacing w:after="0"/>
        <w:jc w:val="center"/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625828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Louisiana Supreme Court Courtroom</w:t>
      </w:r>
    </w:p>
    <w:p w14:paraId="62EA9B44" w14:textId="4D9F1E08" w:rsidR="00EB7F32" w:rsidRPr="004A6A06" w:rsidRDefault="004A6A06" w:rsidP="004D6251">
      <w:pPr>
        <w:pStyle w:val="ListParagraph"/>
        <w:numPr>
          <w:ilvl w:val="0"/>
          <w:numId w:val="2"/>
        </w:numPr>
        <w:spacing w:after="0"/>
        <w:jc w:val="center"/>
        <w:rPr>
          <w:rFonts w:ascii="Franklin Gothic Medium" w:hAnsi="Franklin Gothic Medium"/>
          <w:color w:val="001409"/>
          <w:sz w:val="30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010B7" w:rsidRPr="004D6251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Royal</w:t>
      </w:r>
      <w:r w:rsidR="00EB7F32" w:rsidRPr="004D6251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Street, </w:t>
      </w:r>
      <w:r w:rsidR="002010B7" w:rsidRPr="004D6251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4th</w:t>
      </w:r>
      <w:r w:rsidR="002609BD" w:rsidRPr="004D6251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Floor, </w:t>
      </w:r>
      <w:r w:rsidR="00EB7F32" w:rsidRPr="004D6251">
        <w:rPr>
          <w:rFonts w:ascii="Franklin Gothic Medium" w:hAnsi="Franklin Gothic Medium"/>
          <w:color w:val="001409"/>
          <w:sz w:val="32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New Orleans, LA</w:t>
      </w:r>
    </w:p>
    <w:p w14:paraId="0683F3F1" w14:textId="77777777" w:rsidR="004A6A06" w:rsidRPr="004A6A06" w:rsidRDefault="004A6A06" w:rsidP="004A6A06">
      <w:pPr>
        <w:pStyle w:val="ListParagraph"/>
        <w:spacing w:after="0"/>
        <w:ind w:left="930"/>
        <w:rPr>
          <w:rFonts w:ascii="Franklin Gothic Medium" w:hAnsi="Franklin Gothic Medium"/>
          <w:color w:val="001409"/>
          <w:sz w:val="30"/>
          <w:szCs w:val="3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14:paraId="72C785FE" w14:textId="05AB4A9E" w:rsidR="004A6A06" w:rsidRPr="004A6A06" w:rsidRDefault="004A6A06" w:rsidP="004A6A06">
      <w:pPr>
        <w:spacing w:after="0"/>
        <w:ind w:left="360"/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A06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Agenda: </w:t>
      </w:r>
      <w:r w:rsidRPr="004A6A06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6A06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10:00-11:00 – Writ application panel discussion</w:t>
      </w:r>
    </w:p>
    <w:p w14:paraId="6B6C655F" w14:textId="77777777" w:rsidR="004A6A06" w:rsidRPr="004A6A06" w:rsidRDefault="004A6A06" w:rsidP="004A6A06">
      <w:pPr>
        <w:spacing w:after="0"/>
        <w:ind w:left="1800" w:firstLine="360"/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A06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11:00-11:15 – break</w:t>
      </w:r>
    </w:p>
    <w:p w14:paraId="3879DBE2" w14:textId="77777777" w:rsidR="004A6A06" w:rsidRPr="004A6A06" w:rsidRDefault="004A6A06" w:rsidP="004A6A06">
      <w:pPr>
        <w:spacing w:after="0"/>
        <w:ind w:left="2160"/>
        <w:rPr>
          <w:rFonts w:cstheme="minorHAns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A06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11:15-12:15 – Louisiana Supreme Court developments and professionalism in appellate practice</w:t>
      </w:r>
    </w:p>
    <w:p w14:paraId="5DE14F68" w14:textId="77777777" w:rsidR="004A6A06" w:rsidRPr="002D4AEA" w:rsidRDefault="004A6A06" w:rsidP="005613A4">
      <w:pPr>
        <w:spacing w:after="0"/>
        <w:jc w:val="center"/>
        <w:rPr>
          <w:rFonts w:cstheme="minorHAnsi"/>
          <w:b/>
          <w:color w:val="001A0C"/>
          <w:sz w:val="16"/>
          <w:szCs w:val="16"/>
        </w:rPr>
      </w:pPr>
    </w:p>
    <w:p w14:paraId="09D83B64" w14:textId="77777777" w:rsidR="00411624" w:rsidRDefault="00411624" w:rsidP="004D6251">
      <w:pPr>
        <w:spacing w:after="0"/>
        <w:ind w:left="-450" w:right="-90"/>
        <w:jc w:val="center"/>
        <w:rPr>
          <w:b/>
          <w:color w:val="001A0C"/>
          <w:sz w:val="28"/>
          <w:szCs w:val="28"/>
        </w:rPr>
      </w:pPr>
    </w:p>
    <w:p w14:paraId="6436FD4B" w14:textId="78199E3B" w:rsidR="00531B1E" w:rsidRPr="004D6251" w:rsidRDefault="004D6251" w:rsidP="004D6251">
      <w:pPr>
        <w:spacing w:after="0"/>
        <w:ind w:left="-450" w:right="-90"/>
        <w:jc w:val="center"/>
        <w:rPr>
          <w:b/>
          <w:color w:val="001A0C"/>
          <w:sz w:val="28"/>
          <w:szCs w:val="28"/>
        </w:rPr>
      </w:pPr>
      <w:r>
        <w:rPr>
          <w:b/>
          <w:color w:val="001A0C"/>
          <w:sz w:val="28"/>
          <w:szCs w:val="28"/>
        </w:rPr>
        <w:t xml:space="preserve">2.0 </w:t>
      </w:r>
      <w:r w:rsidR="00BD64E6" w:rsidRPr="004D6251">
        <w:rPr>
          <w:b/>
          <w:color w:val="001A0C"/>
          <w:sz w:val="28"/>
          <w:szCs w:val="28"/>
        </w:rPr>
        <w:t xml:space="preserve">Hour </w:t>
      </w:r>
      <w:r w:rsidR="00FF7E43" w:rsidRPr="004D6251">
        <w:rPr>
          <w:b/>
          <w:color w:val="001A0C"/>
          <w:sz w:val="28"/>
          <w:szCs w:val="28"/>
        </w:rPr>
        <w:t>Professionalism</w:t>
      </w:r>
      <w:r>
        <w:rPr>
          <w:b/>
          <w:color w:val="001A0C"/>
          <w:sz w:val="28"/>
          <w:szCs w:val="28"/>
        </w:rPr>
        <w:t xml:space="preserve"> &amp; Appellate Practice</w:t>
      </w:r>
      <w:r w:rsidR="008C4AF5" w:rsidRPr="004D6251">
        <w:rPr>
          <w:b/>
          <w:color w:val="001A0C"/>
          <w:sz w:val="28"/>
          <w:szCs w:val="28"/>
        </w:rPr>
        <w:t xml:space="preserve"> </w:t>
      </w:r>
      <w:r w:rsidR="00BD64E6" w:rsidRPr="004D6251">
        <w:rPr>
          <w:b/>
          <w:color w:val="001A0C"/>
          <w:sz w:val="28"/>
          <w:szCs w:val="28"/>
        </w:rPr>
        <w:t>CLE credit</w:t>
      </w:r>
    </w:p>
    <w:p w14:paraId="206175D9" w14:textId="77777777" w:rsidR="004C194B" w:rsidRDefault="004C194B" w:rsidP="004C194B">
      <w:pPr>
        <w:spacing w:after="0" w:line="240" w:lineRule="exact"/>
        <w:ind w:left="-450" w:right="-90"/>
        <w:jc w:val="center"/>
        <w:rPr>
          <w:rFonts w:cstheme="minorHAnsi"/>
        </w:rPr>
      </w:pPr>
    </w:p>
    <w:p w14:paraId="0858BE94" w14:textId="3C149D2D" w:rsidR="004C194B" w:rsidRPr="004C194B" w:rsidRDefault="004C194B" w:rsidP="004C194B">
      <w:pPr>
        <w:spacing w:after="0" w:line="240" w:lineRule="exact"/>
        <w:ind w:left="-450" w:right="-90"/>
        <w:jc w:val="both"/>
        <w:rPr>
          <w:rFonts w:cstheme="minorHAnsi"/>
        </w:rPr>
      </w:pPr>
      <w:r>
        <w:rPr>
          <w:rFonts w:cstheme="minorHAnsi"/>
        </w:rPr>
        <w:t>This program will</w:t>
      </w:r>
      <w:r w:rsidRPr="004C194B">
        <w:rPr>
          <w:rFonts w:cstheme="minorHAnsi"/>
        </w:rPr>
        <w:t xml:space="preserve"> educate attorneys about the </w:t>
      </w:r>
      <w:proofErr w:type="gramStart"/>
      <w:r w:rsidRPr="004C194B">
        <w:rPr>
          <w:rFonts w:cstheme="minorHAnsi"/>
        </w:rPr>
        <w:t>particular function</w:t>
      </w:r>
      <w:proofErr w:type="gramEnd"/>
      <w:r w:rsidRPr="004C194B">
        <w:rPr>
          <w:rFonts w:cstheme="minorHAnsi"/>
        </w:rPr>
        <w:t xml:space="preserve"> of the Louisiana Supreme Court as a court of public policy.  Attorneys will be directed to the Rule X considerations listed by the Supreme Court and shown how to draft a meaningful Rule X analysis that focuses on the policy considerations that are important to Louisiana as a whole.  There will be additional discussions of the noteworthy developments in the Court’s opinions for the past year and professionalism with regards to appellate practice.</w:t>
      </w:r>
    </w:p>
    <w:p w14:paraId="19CC2779" w14:textId="4813108B" w:rsidR="004C194B" w:rsidRDefault="004C194B" w:rsidP="00BF2EF1">
      <w:pPr>
        <w:spacing w:after="0" w:line="240" w:lineRule="exact"/>
        <w:ind w:left="-450" w:right="-90"/>
        <w:jc w:val="center"/>
        <w:rPr>
          <w:b/>
          <w:color w:val="001A0C"/>
          <w:sz w:val="16"/>
          <w:szCs w:val="16"/>
        </w:rPr>
      </w:pPr>
    </w:p>
    <w:p w14:paraId="16A4A598" w14:textId="77777777" w:rsidR="004A6A06" w:rsidRPr="004A6A06" w:rsidRDefault="004A6A06" w:rsidP="00BF2EF1">
      <w:pPr>
        <w:spacing w:after="0" w:line="240" w:lineRule="exact"/>
        <w:ind w:left="-450" w:right="-90"/>
        <w:jc w:val="center"/>
        <w:rPr>
          <w:b/>
          <w:color w:val="001A0C"/>
          <w:sz w:val="16"/>
          <w:szCs w:val="16"/>
        </w:rPr>
      </w:pPr>
    </w:p>
    <w:p w14:paraId="75084E13" w14:textId="1E6E7832" w:rsidR="00531B1E" w:rsidRDefault="00531B1E" w:rsidP="00BF2EF1">
      <w:pPr>
        <w:spacing w:after="0" w:line="240" w:lineRule="exact"/>
        <w:ind w:left="-450" w:right="-90"/>
        <w:jc w:val="center"/>
        <w:rPr>
          <w:b/>
          <w:color w:val="001A0C"/>
          <w:sz w:val="30"/>
          <w:szCs w:val="30"/>
        </w:rPr>
      </w:pPr>
      <w:r w:rsidRPr="00DE37F1">
        <w:rPr>
          <w:b/>
          <w:color w:val="001A0C"/>
          <w:sz w:val="30"/>
          <w:szCs w:val="30"/>
        </w:rPr>
        <w:t>Speaker</w:t>
      </w:r>
      <w:r w:rsidR="004C194B">
        <w:rPr>
          <w:b/>
          <w:color w:val="001A0C"/>
          <w:sz w:val="30"/>
          <w:szCs w:val="30"/>
        </w:rPr>
        <w:t>s</w:t>
      </w:r>
    </w:p>
    <w:p w14:paraId="5AA81A80" w14:textId="77777777" w:rsidR="0080239D" w:rsidRPr="00BF2EF1" w:rsidRDefault="0080239D" w:rsidP="005730C0">
      <w:pPr>
        <w:spacing w:after="0"/>
        <w:ind w:left="-450" w:right="-90"/>
        <w:jc w:val="center"/>
        <w:rPr>
          <w:b/>
          <w:color w:val="001A0C"/>
          <w:sz w:val="16"/>
          <w:szCs w:val="16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p w14:paraId="005FCCE2" w14:textId="45716B8B" w:rsidR="00AB567B" w:rsidRPr="008670F4" w:rsidRDefault="004A6A06" w:rsidP="004A6A06">
      <w:pPr>
        <w:spacing w:after="0" w:line="240" w:lineRule="exact"/>
        <w:ind w:left="-446" w:right="-86"/>
        <w:jc w:val="both"/>
        <w:rPr>
          <w:rFonts w:cstheme="minorHAnsi"/>
          <w:sz w:val="16"/>
          <w:szCs w:val="16"/>
        </w:rPr>
      </w:pPr>
      <w:r w:rsidRPr="004A6A06">
        <w:rPr>
          <w:rFonts w:cstheme="minorHAnsi"/>
          <w:b/>
          <w:bCs/>
          <w:iCs/>
        </w:rPr>
        <w:t>Isaac H. Ryan, Esq.</w:t>
      </w:r>
      <w:r>
        <w:rPr>
          <w:rFonts w:cstheme="minorHAnsi"/>
          <w:iCs/>
        </w:rPr>
        <w:t xml:space="preserve"> </w:t>
      </w:r>
      <w:r w:rsidRPr="004A6A06">
        <w:rPr>
          <w:rFonts w:cstheme="minorHAnsi"/>
          <w:iCs/>
        </w:rPr>
        <w:t xml:space="preserve"> is a former Supreme Court law clerk.  </w:t>
      </w:r>
      <w:r w:rsidRPr="004A6A06">
        <w:rPr>
          <w:rFonts w:cstheme="minorHAnsi"/>
          <w:b/>
          <w:bCs/>
          <w:iCs/>
        </w:rPr>
        <w:t>Thomas M. Flanagan, Esq.</w:t>
      </w:r>
      <w:r w:rsidRPr="004A6A06">
        <w:rPr>
          <w:rFonts w:cstheme="minorHAnsi"/>
          <w:iCs/>
        </w:rPr>
        <w:t xml:space="preserve"> is a former U.S. Fifth Circuit </w:t>
      </w:r>
      <w:r>
        <w:rPr>
          <w:rFonts w:cstheme="minorHAnsi"/>
          <w:iCs/>
        </w:rPr>
        <w:t xml:space="preserve">law </w:t>
      </w:r>
      <w:r w:rsidRPr="004A6A06">
        <w:rPr>
          <w:rFonts w:cstheme="minorHAnsi"/>
          <w:iCs/>
        </w:rPr>
        <w:t>clerk.  Both have decades of experience as appellate and litigation attorneys.  Mr. Flanagan is a fellow of the American Academy of Appellate Lawyers and the Past-President of the Bar Association of the Fifth Federal Circuit.  Both have been named “Appellate Lawyer of the Year” by U.S. News.</w:t>
      </w:r>
    </w:p>
    <w:sectPr w:rsidR="00AB567B" w:rsidRPr="008670F4" w:rsidSect="00456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900" w:left="144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5EB1" w14:textId="77777777" w:rsidR="00104467" w:rsidRDefault="00104467" w:rsidP="00104467">
      <w:pPr>
        <w:spacing w:after="0"/>
      </w:pPr>
      <w:r>
        <w:separator/>
      </w:r>
    </w:p>
  </w:endnote>
  <w:endnote w:type="continuationSeparator" w:id="0">
    <w:p w14:paraId="3631A48C" w14:textId="77777777" w:rsidR="00104467" w:rsidRDefault="00104467" w:rsidP="00104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BF1E" w14:textId="77777777" w:rsidR="00104467" w:rsidRDefault="00104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C38D" w14:textId="77777777" w:rsidR="00104467" w:rsidRDefault="00104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314F" w14:textId="77777777" w:rsidR="00104467" w:rsidRDefault="00104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4C80" w14:textId="77777777" w:rsidR="00104467" w:rsidRDefault="00104467" w:rsidP="00104467">
      <w:pPr>
        <w:spacing w:after="0"/>
      </w:pPr>
      <w:r>
        <w:separator/>
      </w:r>
    </w:p>
  </w:footnote>
  <w:footnote w:type="continuationSeparator" w:id="0">
    <w:p w14:paraId="1CAE1661" w14:textId="77777777" w:rsidR="00104467" w:rsidRDefault="00104467" w:rsidP="001044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DCAB" w14:textId="77777777" w:rsidR="00104467" w:rsidRDefault="00104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F83D" w14:textId="77777777" w:rsidR="00104467" w:rsidRDefault="00104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C708" w14:textId="77777777" w:rsidR="00104467" w:rsidRDefault="00104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A50"/>
    <w:multiLevelType w:val="hybridMultilevel"/>
    <w:tmpl w:val="6D54D040"/>
    <w:lvl w:ilvl="0" w:tplc="20CECE7E">
      <w:start w:val="400"/>
      <w:numFmt w:val="decimal"/>
      <w:lvlText w:val="%1"/>
      <w:lvlJc w:val="left"/>
      <w:pPr>
        <w:ind w:left="930" w:hanging="57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482A"/>
    <w:multiLevelType w:val="multilevel"/>
    <w:tmpl w:val="76984244"/>
    <w:lvl w:ilvl="0">
      <w:start w:val="1"/>
      <w:numFmt w:val="decimal"/>
      <w:lvlText w:val="%1.0"/>
      <w:lvlJc w:val="left"/>
      <w:pPr>
        <w:ind w:left="27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0" w:hanging="2160"/>
      </w:pPr>
      <w:rPr>
        <w:rFonts w:hint="default"/>
      </w:rPr>
    </w:lvl>
  </w:abstractNum>
  <w:num w:numId="1" w16cid:durableId="1675109203">
    <w:abstractNumId w:val="1"/>
  </w:num>
  <w:num w:numId="2" w16cid:durableId="202679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41">
      <o:colormru v:ext="edit" colors="#ffc,#abe9ff,#d5f4ff,#e5f8ff,#0086ea,#47b0ff,#85cbff,#afddf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36"/>
    <w:rsid w:val="00002061"/>
    <w:rsid w:val="00007289"/>
    <w:rsid w:val="00021A3E"/>
    <w:rsid w:val="00061B6C"/>
    <w:rsid w:val="00080D31"/>
    <w:rsid w:val="00082B1F"/>
    <w:rsid w:val="000835D4"/>
    <w:rsid w:val="00085A52"/>
    <w:rsid w:val="00090DF6"/>
    <w:rsid w:val="00092AB7"/>
    <w:rsid w:val="000A1D09"/>
    <w:rsid w:val="00102F0F"/>
    <w:rsid w:val="00104467"/>
    <w:rsid w:val="001353BD"/>
    <w:rsid w:val="00140901"/>
    <w:rsid w:val="00153599"/>
    <w:rsid w:val="00156280"/>
    <w:rsid w:val="001629C4"/>
    <w:rsid w:val="00174A20"/>
    <w:rsid w:val="00187EB7"/>
    <w:rsid w:val="00191416"/>
    <w:rsid w:val="00195425"/>
    <w:rsid w:val="001A3E14"/>
    <w:rsid w:val="001B0BBF"/>
    <w:rsid w:val="001B502E"/>
    <w:rsid w:val="001D44A9"/>
    <w:rsid w:val="001E4AF4"/>
    <w:rsid w:val="001F3738"/>
    <w:rsid w:val="002010B7"/>
    <w:rsid w:val="002035CD"/>
    <w:rsid w:val="00231A34"/>
    <w:rsid w:val="00232B2A"/>
    <w:rsid w:val="00240F2B"/>
    <w:rsid w:val="002609BD"/>
    <w:rsid w:val="00280F0D"/>
    <w:rsid w:val="002A5696"/>
    <w:rsid w:val="002A7985"/>
    <w:rsid w:val="002B360D"/>
    <w:rsid w:val="002B68E4"/>
    <w:rsid w:val="002D4AEA"/>
    <w:rsid w:val="0031090C"/>
    <w:rsid w:val="0032065F"/>
    <w:rsid w:val="003342B9"/>
    <w:rsid w:val="00337E72"/>
    <w:rsid w:val="003550D1"/>
    <w:rsid w:val="00367876"/>
    <w:rsid w:val="00397407"/>
    <w:rsid w:val="003B6CC5"/>
    <w:rsid w:val="003C7F73"/>
    <w:rsid w:val="003D5237"/>
    <w:rsid w:val="003E0D46"/>
    <w:rsid w:val="003E4AC8"/>
    <w:rsid w:val="003F5048"/>
    <w:rsid w:val="003F51B7"/>
    <w:rsid w:val="003F5CC5"/>
    <w:rsid w:val="003F61E3"/>
    <w:rsid w:val="003F687A"/>
    <w:rsid w:val="004045A3"/>
    <w:rsid w:val="0040653C"/>
    <w:rsid w:val="00411624"/>
    <w:rsid w:val="00412492"/>
    <w:rsid w:val="00427477"/>
    <w:rsid w:val="0043589C"/>
    <w:rsid w:val="0045478A"/>
    <w:rsid w:val="004567B6"/>
    <w:rsid w:val="004568C0"/>
    <w:rsid w:val="0046703B"/>
    <w:rsid w:val="0046792F"/>
    <w:rsid w:val="00487DFA"/>
    <w:rsid w:val="00490BBB"/>
    <w:rsid w:val="0049480B"/>
    <w:rsid w:val="004A15AF"/>
    <w:rsid w:val="004A220A"/>
    <w:rsid w:val="004A5276"/>
    <w:rsid w:val="004A6A06"/>
    <w:rsid w:val="004C194B"/>
    <w:rsid w:val="004C3D27"/>
    <w:rsid w:val="004C5F93"/>
    <w:rsid w:val="004D5153"/>
    <w:rsid w:val="004D6251"/>
    <w:rsid w:val="004D7D7F"/>
    <w:rsid w:val="00500381"/>
    <w:rsid w:val="00512265"/>
    <w:rsid w:val="00515F47"/>
    <w:rsid w:val="00531B1E"/>
    <w:rsid w:val="00532A7E"/>
    <w:rsid w:val="0053688C"/>
    <w:rsid w:val="0053697C"/>
    <w:rsid w:val="00546C95"/>
    <w:rsid w:val="005506E4"/>
    <w:rsid w:val="00554084"/>
    <w:rsid w:val="005613A4"/>
    <w:rsid w:val="005730C0"/>
    <w:rsid w:val="005A7516"/>
    <w:rsid w:val="005B1318"/>
    <w:rsid w:val="005C6252"/>
    <w:rsid w:val="005D05C6"/>
    <w:rsid w:val="005D73B4"/>
    <w:rsid w:val="005E4F83"/>
    <w:rsid w:val="005F6072"/>
    <w:rsid w:val="00610079"/>
    <w:rsid w:val="00614086"/>
    <w:rsid w:val="00625828"/>
    <w:rsid w:val="006468B5"/>
    <w:rsid w:val="00655E75"/>
    <w:rsid w:val="00657A84"/>
    <w:rsid w:val="0067186C"/>
    <w:rsid w:val="006777E9"/>
    <w:rsid w:val="00691B99"/>
    <w:rsid w:val="006A07FF"/>
    <w:rsid w:val="006A3845"/>
    <w:rsid w:val="006A52B2"/>
    <w:rsid w:val="006A651B"/>
    <w:rsid w:val="006E0755"/>
    <w:rsid w:val="006E5026"/>
    <w:rsid w:val="006E5590"/>
    <w:rsid w:val="006E6965"/>
    <w:rsid w:val="006F7461"/>
    <w:rsid w:val="00702F70"/>
    <w:rsid w:val="00723B18"/>
    <w:rsid w:val="00727482"/>
    <w:rsid w:val="00727937"/>
    <w:rsid w:val="007439A2"/>
    <w:rsid w:val="007450EB"/>
    <w:rsid w:val="00752294"/>
    <w:rsid w:val="0078013A"/>
    <w:rsid w:val="007B168C"/>
    <w:rsid w:val="007C225C"/>
    <w:rsid w:val="007D52A9"/>
    <w:rsid w:val="007D625E"/>
    <w:rsid w:val="007F2AD6"/>
    <w:rsid w:val="007F3827"/>
    <w:rsid w:val="007F4DCC"/>
    <w:rsid w:val="00800214"/>
    <w:rsid w:val="0080239D"/>
    <w:rsid w:val="00804C78"/>
    <w:rsid w:val="0081127E"/>
    <w:rsid w:val="0082403A"/>
    <w:rsid w:val="008558F0"/>
    <w:rsid w:val="00862603"/>
    <w:rsid w:val="008670F4"/>
    <w:rsid w:val="00874D59"/>
    <w:rsid w:val="008974BD"/>
    <w:rsid w:val="008A34F2"/>
    <w:rsid w:val="008B6B8E"/>
    <w:rsid w:val="008C4AF5"/>
    <w:rsid w:val="008D5A36"/>
    <w:rsid w:val="008E411D"/>
    <w:rsid w:val="008E7CCF"/>
    <w:rsid w:val="009166FF"/>
    <w:rsid w:val="00921BF1"/>
    <w:rsid w:val="00926440"/>
    <w:rsid w:val="0093516E"/>
    <w:rsid w:val="00937084"/>
    <w:rsid w:val="00937E34"/>
    <w:rsid w:val="00941BF6"/>
    <w:rsid w:val="009465F3"/>
    <w:rsid w:val="00950971"/>
    <w:rsid w:val="00952E7E"/>
    <w:rsid w:val="00956FA8"/>
    <w:rsid w:val="00963D56"/>
    <w:rsid w:val="00981D2B"/>
    <w:rsid w:val="00990748"/>
    <w:rsid w:val="009A17F7"/>
    <w:rsid w:val="009A39D5"/>
    <w:rsid w:val="009C1096"/>
    <w:rsid w:val="009E24FA"/>
    <w:rsid w:val="009E3C05"/>
    <w:rsid w:val="00A045B1"/>
    <w:rsid w:val="00A15044"/>
    <w:rsid w:val="00A236BA"/>
    <w:rsid w:val="00A27F9C"/>
    <w:rsid w:val="00A30031"/>
    <w:rsid w:val="00A35383"/>
    <w:rsid w:val="00A5792C"/>
    <w:rsid w:val="00A743D2"/>
    <w:rsid w:val="00A975B0"/>
    <w:rsid w:val="00AA4552"/>
    <w:rsid w:val="00AB086D"/>
    <w:rsid w:val="00AB567B"/>
    <w:rsid w:val="00AC6544"/>
    <w:rsid w:val="00AE236E"/>
    <w:rsid w:val="00B14993"/>
    <w:rsid w:val="00B16FCB"/>
    <w:rsid w:val="00B245A6"/>
    <w:rsid w:val="00B24822"/>
    <w:rsid w:val="00B3564A"/>
    <w:rsid w:val="00B371F7"/>
    <w:rsid w:val="00B60D0F"/>
    <w:rsid w:val="00B61B1D"/>
    <w:rsid w:val="00B6326A"/>
    <w:rsid w:val="00B64016"/>
    <w:rsid w:val="00B71739"/>
    <w:rsid w:val="00B72D09"/>
    <w:rsid w:val="00B943F5"/>
    <w:rsid w:val="00BA07D6"/>
    <w:rsid w:val="00BA49B3"/>
    <w:rsid w:val="00BB2B5B"/>
    <w:rsid w:val="00BB5ADB"/>
    <w:rsid w:val="00BD64E6"/>
    <w:rsid w:val="00BF2EF1"/>
    <w:rsid w:val="00C03F75"/>
    <w:rsid w:val="00C317F8"/>
    <w:rsid w:val="00C37530"/>
    <w:rsid w:val="00C421C1"/>
    <w:rsid w:val="00C46C03"/>
    <w:rsid w:val="00C55B36"/>
    <w:rsid w:val="00C908A7"/>
    <w:rsid w:val="00CA18EA"/>
    <w:rsid w:val="00CA2C32"/>
    <w:rsid w:val="00CC35FC"/>
    <w:rsid w:val="00CC646D"/>
    <w:rsid w:val="00CD0C38"/>
    <w:rsid w:val="00CD49C8"/>
    <w:rsid w:val="00CD6E85"/>
    <w:rsid w:val="00CF7B6B"/>
    <w:rsid w:val="00D03DE8"/>
    <w:rsid w:val="00D04A60"/>
    <w:rsid w:val="00D2173C"/>
    <w:rsid w:val="00D22278"/>
    <w:rsid w:val="00D24E34"/>
    <w:rsid w:val="00D3391E"/>
    <w:rsid w:val="00D33DA1"/>
    <w:rsid w:val="00D4489E"/>
    <w:rsid w:val="00DC0043"/>
    <w:rsid w:val="00DC2C0F"/>
    <w:rsid w:val="00DD375A"/>
    <w:rsid w:val="00DD7C07"/>
    <w:rsid w:val="00DE37F1"/>
    <w:rsid w:val="00DE51E1"/>
    <w:rsid w:val="00DF3E7E"/>
    <w:rsid w:val="00DF5436"/>
    <w:rsid w:val="00DF7465"/>
    <w:rsid w:val="00E148ED"/>
    <w:rsid w:val="00E15742"/>
    <w:rsid w:val="00E219EB"/>
    <w:rsid w:val="00E21A77"/>
    <w:rsid w:val="00E2295D"/>
    <w:rsid w:val="00E22A00"/>
    <w:rsid w:val="00E30925"/>
    <w:rsid w:val="00E34702"/>
    <w:rsid w:val="00E54992"/>
    <w:rsid w:val="00E55611"/>
    <w:rsid w:val="00E63437"/>
    <w:rsid w:val="00E64100"/>
    <w:rsid w:val="00E773E1"/>
    <w:rsid w:val="00E845C1"/>
    <w:rsid w:val="00E860F8"/>
    <w:rsid w:val="00E95EE5"/>
    <w:rsid w:val="00E97C28"/>
    <w:rsid w:val="00EA14A7"/>
    <w:rsid w:val="00EA4377"/>
    <w:rsid w:val="00EB7F32"/>
    <w:rsid w:val="00EC29E2"/>
    <w:rsid w:val="00EE339A"/>
    <w:rsid w:val="00EE3A21"/>
    <w:rsid w:val="00F03985"/>
    <w:rsid w:val="00F0566D"/>
    <w:rsid w:val="00F067CE"/>
    <w:rsid w:val="00F36C75"/>
    <w:rsid w:val="00F54340"/>
    <w:rsid w:val="00F8302E"/>
    <w:rsid w:val="00FA0B1D"/>
    <w:rsid w:val="00FC3D38"/>
    <w:rsid w:val="00FD0B83"/>
    <w:rsid w:val="00FF7A92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ffc,#abe9ff,#d5f4ff,#e5f8ff,#0086ea,#47b0ff,#85cbff,#afddf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E592FC6"/>
  <w15:chartTrackingRefBased/>
  <w15:docId w15:val="{9AF0B5BE-5827-4BF7-9085-EBFDB3B6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A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44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4467"/>
  </w:style>
  <w:style w:type="paragraph" w:styleId="Footer">
    <w:name w:val="footer"/>
    <w:basedOn w:val="Normal"/>
    <w:link w:val="FooterChar"/>
    <w:uiPriority w:val="99"/>
    <w:unhideWhenUsed/>
    <w:rsid w:val="001044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4467"/>
  </w:style>
  <w:style w:type="character" w:styleId="FollowedHyperlink">
    <w:name w:val="FollowedHyperlink"/>
    <w:basedOn w:val="DefaultParagraphFont"/>
    <w:uiPriority w:val="99"/>
    <w:semiHidden/>
    <w:unhideWhenUsed/>
    <w:rsid w:val="000835D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23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207C-BAA5-47D7-AE13-1DE01978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Supreme Court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Childs</dc:creator>
  <cp:keywords/>
  <dc:description/>
  <cp:lastModifiedBy>Fran Norton</cp:lastModifiedBy>
  <cp:revision>2</cp:revision>
  <cp:lastPrinted>2021-06-02T14:40:00Z</cp:lastPrinted>
  <dcterms:created xsi:type="dcterms:W3CDTF">2025-10-13T18:55:00Z</dcterms:created>
  <dcterms:modified xsi:type="dcterms:W3CDTF">2025-10-13T18:55:00Z</dcterms:modified>
</cp:coreProperties>
</file>